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80" w:rsidRDefault="00FC3E80">
      <w:pPr>
        <w:spacing w:after="0" w:line="256" w:lineRule="auto"/>
      </w:pPr>
    </w:p>
    <w:p w:rsidR="00FC3E80" w:rsidRDefault="00827C8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Tisková zpráva Karvinské hornické nemocnice</w:t>
      </w:r>
    </w:p>
    <w:p w:rsidR="00FC3E80" w:rsidRDefault="008E199A">
      <w:pPr>
        <w:spacing w:after="48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827C80">
        <w:rPr>
          <w:rFonts w:ascii="Arial" w:hAnsi="Arial" w:cs="Arial"/>
          <w:sz w:val="24"/>
          <w:szCs w:val="24"/>
        </w:rPr>
        <w:t xml:space="preserve">. </w:t>
      </w:r>
      <w:r w:rsidR="00B1531F">
        <w:rPr>
          <w:rFonts w:ascii="Arial" w:hAnsi="Arial" w:cs="Arial"/>
          <w:sz w:val="24"/>
          <w:szCs w:val="24"/>
        </w:rPr>
        <w:t>června 2021</w:t>
      </w:r>
    </w:p>
    <w:p w:rsidR="00B1531F" w:rsidRPr="00B1531F" w:rsidRDefault="008D7070" w:rsidP="00B1531F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8D7070">
        <w:rPr>
          <w:rFonts w:ascii="Arial" w:hAnsi="Arial" w:cs="Arial"/>
          <w:b/>
          <w:bCs/>
          <w:sz w:val="28"/>
          <w:szCs w:val="28"/>
        </w:rPr>
        <w:t xml:space="preserve">Karvinská hornická nemocnice </w:t>
      </w:r>
      <w:r w:rsidR="00B1531F">
        <w:rPr>
          <w:rFonts w:ascii="Arial" w:hAnsi="Arial" w:cs="Arial"/>
          <w:b/>
          <w:bCs/>
          <w:sz w:val="28"/>
          <w:szCs w:val="28"/>
        </w:rPr>
        <w:t xml:space="preserve">už provedla </w:t>
      </w:r>
      <w:r w:rsidR="00B1531F" w:rsidRPr="00B1531F">
        <w:rPr>
          <w:rFonts w:ascii="Arial" w:hAnsi="Arial" w:cs="Arial"/>
          <w:b/>
          <w:bCs/>
          <w:sz w:val="28"/>
          <w:szCs w:val="28"/>
        </w:rPr>
        <w:t>přes 600 plánovaných operací. Třetinu představují náhrady velkých kloubů</w:t>
      </w:r>
    </w:p>
    <w:bookmarkEnd w:id="0"/>
    <w:p w:rsidR="00B1531F" w:rsidRDefault="00B1531F" w:rsidP="00B1531F">
      <w:pPr>
        <w:jc w:val="both"/>
        <w:rPr>
          <w:b/>
        </w:rPr>
      </w:pPr>
      <w:r w:rsidRPr="00B1531F">
        <w:rPr>
          <w:rFonts w:ascii="Arial" w:hAnsi="Arial" w:cs="Arial"/>
          <w:b/>
          <w:sz w:val="24"/>
        </w:rPr>
        <w:t>Ortopedie a chirurgie páteře, stěžejní obory Karvinské hornické nemocnice, jsou na sto procentech běžného operačního výkonu. Současné počty provedených plánovaných zákroků navíc ukazují, že rozsah neakutní operativy se daří navyšovat i nad úroveň, které nemocnice dosahovala před pandemií koronaviru. To je dobrá zpráva pro všechny pacienty, kteří čekají na operaci pohybového aparátu.</w:t>
      </w:r>
    </w:p>
    <w:p w:rsidR="00B1531F" w:rsidRPr="00B1531F" w:rsidRDefault="00B1531F" w:rsidP="00B1531F">
      <w:pPr>
        <w:jc w:val="both"/>
        <w:rPr>
          <w:rFonts w:ascii="Arial" w:hAnsi="Arial" w:cs="Arial"/>
          <w:sz w:val="24"/>
        </w:rPr>
      </w:pPr>
      <w:r w:rsidRPr="00B1531F">
        <w:rPr>
          <w:rFonts w:ascii="Arial" w:hAnsi="Arial" w:cs="Arial"/>
          <w:sz w:val="24"/>
        </w:rPr>
        <w:t>Šestiměsíční výpadek ortopedie a spondylochirurgie dohání Karvinská hornická nemocnice především díky zprovoznění nové budovy, ve které vzniklo druhé ortopedické oddělení s 18 lůžky, včetně dospávacích, a nová čtyřlůžková JIP.</w:t>
      </w:r>
    </w:p>
    <w:p w:rsidR="00B1531F" w:rsidRPr="00B1531F" w:rsidRDefault="00B1531F" w:rsidP="00B1531F">
      <w:pPr>
        <w:jc w:val="both"/>
        <w:rPr>
          <w:rFonts w:ascii="Arial" w:hAnsi="Arial" w:cs="Arial"/>
          <w:sz w:val="24"/>
        </w:rPr>
      </w:pPr>
      <w:r w:rsidRPr="00B1531F">
        <w:rPr>
          <w:rFonts w:ascii="Arial" w:hAnsi="Arial" w:cs="Arial"/>
          <w:i/>
          <w:sz w:val="24"/>
        </w:rPr>
        <w:t>„Naším cílem je co nejrychleji výrazně zkrátit čekací doby, což se nám zatím daří. Od dubna, kdy byl zrušen zákaz provádění plánované péče, k dnešnímu dni jsme prove</w:t>
      </w:r>
      <w:r w:rsidR="008E199A">
        <w:rPr>
          <w:rFonts w:ascii="Arial" w:hAnsi="Arial" w:cs="Arial"/>
          <w:i/>
          <w:sz w:val="24"/>
        </w:rPr>
        <w:t>dli přes 600 operací, z toho 204 totálních endoprotéz a 105</w:t>
      </w:r>
      <w:r w:rsidRPr="00B1531F">
        <w:rPr>
          <w:rFonts w:ascii="Arial" w:hAnsi="Arial" w:cs="Arial"/>
          <w:i/>
          <w:sz w:val="24"/>
        </w:rPr>
        <w:t xml:space="preserve"> operací na páteři. Zbytek představují ostatní ortopedické operace,“</w:t>
      </w:r>
      <w:r w:rsidRPr="00B1531F">
        <w:rPr>
          <w:rFonts w:ascii="Arial" w:hAnsi="Arial" w:cs="Arial"/>
          <w:sz w:val="24"/>
        </w:rPr>
        <w:t xml:space="preserve"> upřesnil ředitel Karvinské hornické nemocnice MUDr. Tomáš Canibal.</w:t>
      </w:r>
    </w:p>
    <w:p w:rsidR="00B1531F" w:rsidRPr="00B1531F" w:rsidRDefault="00B1531F" w:rsidP="00B1531F">
      <w:pPr>
        <w:jc w:val="both"/>
        <w:rPr>
          <w:rFonts w:ascii="Arial" w:hAnsi="Arial" w:cs="Arial"/>
          <w:sz w:val="24"/>
        </w:rPr>
      </w:pPr>
      <w:r w:rsidRPr="00B1531F">
        <w:rPr>
          <w:rFonts w:ascii="Arial" w:hAnsi="Arial" w:cs="Arial"/>
          <w:sz w:val="24"/>
        </w:rPr>
        <w:t>Další navýšení operativy plánuje nemocnice po prázdninách. Jak ortopedické týmy, tak týmy z oddělení chirurgie páteře vypomáhaly během pandemie na covidové jednotce a všude, kde bylo potřeba, a ani po návratu do starých kolejí nebyl na odpočinek čas. S ohledem na pacienty, kterým covid protáhl čekací doby o pů</w:t>
      </w:r>
      <w:r>
        <w:rPr>
          <w:rFonts w:ascii="Arial" w:hAnsi="Arial" w:cs="Arial"/>
          <w:sz w:val="24"/>
        </w:rPr>
        <w:t xml:space="preserve">l roku, bylo </w:t>
      </w:r>
      <w:r w:rsidRPr="00B1531F">
        <w:rPr>
          <w:rFonts w:ascii="Arial" w:hAnsi="Arial" w:cs="Arial"/>
          <w:sz w:val="24"/>
        </w:rPr>
        <w:t>třeba nasadit svižné operační tempo. Je nasnadě, že nahromaděné dny volna budou zdravotníci čerpat právě během letních měsíců.</w:t>
      </w:r>
    </w:p>
    <w:p w:rsidR="008D7070" w:rsidRPr="008D7070" w:rsidRDefault="00B1531F" w:rsidP="00B1531F">
      <w:pPr>
        <w:jc w:val="both"/>
        <w:rPr>
          <w:rFonts w:ascii="Arial" w:hAnsi="Arial" w:cs="Arial"/>
          <w:sz w:val="24"/>
        </w:rPr>
      </w:pPr>
      <w:r w:rsidRPr="00B1531F">
        <w:rPr>
          <w:rFonts w:ascii="Arial" w:hAnsi="Arial" w:cs="Arial"/>
          <w:i/>
          <w:sz w:val="24"/>
        </w:rPr>
        <w:t xml:space="preserve">„Za optimálních okolností jsme schopni navýšit počet plánovaných endoprotéz o další čtyři týdně, </w:t>
      </w:r>
      <w:r>
        <w:rPr>
          <w:rFonts w:ascii="Arial" w:hAnsi="Arial" w:cs="Arial"/>
          <w:i/>
          <w:sz w:val="24"/>
        </w:rPr>
        <w:br/>
      </w:r>
      <w:r w:rsidRPr="00B1531F">
        <w:rPr>
          <w:rFonts w:ascii="Arial" w:hAnsi="Arial" w:cs="Arial"/>
          <w:i/>
          <w:sz w:val="24"/>
        </w:rPr>
        <w:t xml:space="preserve">a to právě díky rozšíření pooperační JIP a dospávacích lůžek. Prospěly nám i nové, větší prostory ambulancí, které pacientům zpříjemnily prostředí, a hlavně </w:t>
      </w:r>
      <w:r w:rsidR="004F27B2">
        <w:rPr>
          <w:rFonts w:ascii="Arial" w:hAnsi="Arial" w:cs="Arial"/>
          <w:i/>
          <w:sz w:val="24"/>
        </w:rPr>
        <w:t xml:space="preserve">nám umožnily </w:t>
      </w:r>
      <w:r w:rsidRPr="00B1531F">
        <w:rPr>
          <w:rFonts w:ascii="Arial" w:hAnsi="Arial" w:cs="Arial"/>
          <w:i/>
          <w:sz w:val="24"/>
        </w:rPr>
        <w:t>soustředit všechnu potřebnou ambulantní a předoperační péči na jedno místo, takže pacienti nemusí běhat po celém špitále,“</w:t>
      </w:r>
      <w:r w:rsidRPr="00B1531F">
        <w:rPr>
          <w:rFonts w:ascii="Arial" w:hAnsi="Arial" w:cs="Arial"/>
          <w:sz w:val="24"/>
        </w:rPr>
        <w:t xml:space="preserve"> uvedl primář ortopedie Karvinské hornické nemocnice MUDr. Radek Pavličný.</w:t>
      </w:r>
    </w:p>
    <w:sectPr w:rsidR="008D7070" w:rsidRPr="008D7070">
      <w:headerReference w:type="default" r:id="rId7"/>
      <w:footerReference w:type="default" r:id="rId8"/>
      <w:pgSz w:w="11906" w:h="16838"/>
      <w:pgMar w:top="628" w:right="720" w:bottom="709" w:left="720" w:header="284" w:footer="3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F3" w:rsidRDefault="009309F3">
      <w:pPr>
        <w:spacing w:after="0" w:line="240" w:lineRule="auto"/>
      </w:pPr>
      <w:r>
        <w:separator/>
      </w:r>
    </w:p>
  </w:endnote>
  <w:endnote w:type="continuationSeparator" w:id="0">
    <w:p w:rsidR="009309F3" w:rsidRDefault="0093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80" w:rsidRDefault="00827C80">
    <w:pPr>
      <w:tabs>
        <w:tab w:val="center" w:pos="5233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7" behindDoc="1" locked="0" layoutInCell="0" allowOverlap="1" wp14:anchorId="0DEFC716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6637655" cy="635"/>
              <wp:effectExtent l="0" t="0" r="30480" b="19050"/>
              <wp:wrapNone/>
              <wp:docPr id="3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69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.65pt" to="522.55pt,8.65pt" ID="Přímá spojnice 6" stroked="t" style="position:absolute;mso-position-horizontal:left;mso-position-horizontal-relative:margin" wp14:anchorId="0DEFC716">
              <v:stroke color="#5b9bd5" weight="6480" joinstyle="miter" endcap="flat"/>
              <v:fill o:detectmouseclick="t" on="false"/>
            </v:line>
          </w:pict>
        </mc:Fallback>
      </mc:AlternateContent>
    </w:r>
    <w:r>
      <w:tab/>
    </w:r>
  </w:p>
  <w:tbl>
    <w:tblPr>
      <w:tblStyle w:val="Mkatabulky"/>
      <w:tblW w:w="10915" w:type="dxa"/>
      <w:tblInd w:w="-147" w:type="dxa"/>
      <w:tblLayout w:type="fixed"/>
      <w:tblLook w:val="04A0" w:firstRow="1" w:lastRow="0" w:firstColumn="1" w:lastColumn="0" w:noHBand="0" w:noVBand="1"/>
    </w:tblPr>
    <w:tblGrid>
      <w:gridCol w:w="2769"/>
      <w:gridCol w:w="1626"/>
      <w:gridCol w:w="1989"/>
      <w:gridCol w:w="2188"/>
      <w:gridCol w:w="2343"/>
    </w:tblGrid>
    <w:tr w:rsidR="00FC3E80">
      <w:trPr>
        <w:trHeight w:val="453"/>
      </w:trPr>
      <w:tc>
        <w:tcPr>
          <w:tcW w:w="2769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Mkatabulky"/>
            <w:tblW w:w="3144" w:type="dxa"/>
            <w:tblInd w:w="1" w:type="dxa"/>
            <w:tblLayout w:type="fixed"/>
            <w:tblLook w:val="04A0" w:firstRow="1" w:lastRow="0" w:firstColumn="1" w:lastColumn="0" w:noHBand="0" w:noVBand="1"/>
          </w:tblPr>
          <w:tblGrid>
            <w:gridCol w:w="3144"/>
          </w:tblGrid>
          <w:tr w:rsidR="00FC3E80">
            <w:trPr>
              <w:trHeight w:val="140"/>
            </w:trPr>
            <w:tc>
              <w:tcPr>
                <w:tcW w:w="31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3E80" w:rsidRDefault="00827C80">
                <w:pPr>
                  <w:pStyle w:val="Zpat"/>
                  <w:ind w:left="-79"/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  <w:t>Karvinská hornická nemocnice a.s.</w:t>
                </w:r>
              </w:p>
            </w:tc>
          </w:tr>
          <w:tr w:rsidR="00FC3E80">
            <w:trPr>
              <w:trHeight w:val="147"/>
            </w:trPr>
            <w:tc>
              <w:tcPr>
                <w:tcW w:w="31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3E80" w:rsidRDefault="00827C80">
                <w:pPr>
                  <w:pStyle w:val="Zpat"/>
                  <w:ind w:left="-79"/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  <w:t>Zakladatelská 975/22</w:t>
                </w:r>
              </w:p>
            </w:tc>
          </w:tr>
          <w:tr w:rsidR="00FC3E80">
            <w:trPr>
              <w:trHeight w:val="140"/>
            </w:trPr>
            <w:tc>
              <w:tcPr>
                <w:tcW w:w="31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3E80" w:rsidRDefault="00827C80">
                <w:pPr>
                  <w:pStyle w:val="Zpat"/>
                  <w:ind w:left="-79"/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  <w:t>735 06 Karviná - Nové Město</w:t>
                </w:r>
              </w:p>
            </w:tc>
          </w:tr>
        </w:tbl>
        <w:p w:rsidR="00FC3E80" w:rsidRDefault="00FC3E80">
          <w:pPr>
            <w:widowControl w:val="0"/>
            <w:tabs>
              <w:tab w:val="center" w:pos="5233"/>
            </w:tabs>
          </w:pPr>
        </w:p>
      </w:tc>
      <w:tc>
        <w:tcPr>
          <w:tcW w:w="1626" w:type="dxa"/>
          <w:tcBorders>
            <w:top w:val="nil"/>
            <w:left w:val="nil"/>
            <w:bottom w:val="nil"/>
            <w:right w:val="nil"/>
          </w:tcBorders>
        </w:tcPr>
        <w:p w:rsidR="00FC3E80" w:rsidRDefault="00827C80">
          <w:pPr>
            <w:pStyle w:val="Zpa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IČ: 60793490</w:t>
          </w:r>
        </w:p>
        <w:p w:rsidR="00FC3E80" w:rsidRDefault="00827C80">
          <w:pPr>
            <w:tabs>
              <w:tab w:val="center" w:pos="5233"/>
            </w:tabs>
            <w:spacing w:after="0"/>
            <w:rPr>
              <w:rFonts w:ascii="Calibri" w:hAnsi="Calibri"/>
            </w:rPr>
          </w:pPr>
          <w:r>
            <w:rPr>
              <w:rFonts w:eastAsia="Calibri"/>
              <w:color w:val="A6A6A6" w:themeColor="background1" w:themeShade="A6"/>
              <w:sz w:val="18"/>
              <w:szCs w:val="18"/>
            </w:rPr>
            <w:t>DIČ: CZ60793490</w:t>
          </w: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</w:tcPr>
        <w:p w:rsidR="00FC3E80" w:rsidRDefault="00827C80">
          <w:pPr>
            <w:pStyle w:val="Zpa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KB Karviná</w:t>
          </w:r>
        </w:p>
        <w:p w:rsidR="00FC3E80" w:rsidRDefault="00827C80">
          <w:pPr>
            <w:pStyle w:val="Zpat"/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19-3420100247/0100</w:t>
          </w:r>
        </w:p>
      </w:tc>
      <w:tc>
        <w:tcPr>
          <w:tcW w:w="2188" w:type="dxa"/>
          <w:tcBorders>
            <w:top w:val="nil"/>
            <w:left w:val="nil"/>
            <w:bottom w:val="nil"/>
            <w:right w:val="nil"/>
          </w:tcBorders>
        </w:tcPr>
        <w:p w:rsidR="00FC3E80" w:rsidRDefault="00827C80">
          <w:pPr>
            <w:pStyle w:val="Zpa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REGISTRACE</w:t>
          </w:r>
        </w:p>
        <w:p w:rsidR="00FC3E80" w:rsidRDefault="00827C80">
          <w:pPr>
            <w:tabs>
              <w:tab w:val="center" w:pos="5233"/>
            </w:tabs>
            <w:spacing w:after="0"/>
            <w:rPr>
              <w:rFonts w:eastAsia="Calibri"/>
            </w:rPr>
          </w:pPr>
          <w:r>
            <w:rPr>
              <w:rFonts w:eastAsia="Calibri"/>
              <w:color w:val="A6A6A6" w:themeColor="background1" w:themeShade="A6"/>
              <w:sz w:val="18"/>
              <w:szCs w:val="18"/>
            </w:rPr>
            <w:t xml:space="preserve">KS Ostrava, </w:t>
          </w:r>
          <w:proofErr w:type="spellStart"/>
          <w:r>
            <w:rPr>
              <w:rFonts w:eastAsia="Calibri"/>
              <w:color w:val="A6A6A6" w:themeColor="background1" w:themeShade="A6"/>
              <w:sz w:val="18"/>
              <w:szCs w:val="18"/>
            </w:rPr>
            <w:t>sp</w:t>
          </w:r>
          <w:proofErr w:type="spellEnd"/>
          <w:r>
            <w:rPr>
              <w:rFonts w:eastAsia="Calibri"/>
              <w:color w:val="A6A6A6" w:themeColor="background1" w:themeShade="A6"/>
              <w:sz w:val="18"/>
              <w:szCs w:val="18"/>
            </w:rPr>
            <w:t xml:space="preserve">. </w:t>
          </w:r>
          <w:proofErr w:type="gramStart"/>
          <w:r>
            <w:rPr>
              <w:rFonts w:eastAsia="Calibri"/>
              <w:color w:val="A6A6A6" w:themeColor="background1" w:themeShade="A6"/>
              <w:sz w:val="18"/>
              <w:szCs w:val="18"/>
            </w:rPr>
            <w:t>zn. B.1048</w:t>
          </w:r>
          <w:proofErr w:type="gramEnd"/>
        </w:p>
      </w:tc>
      <w:tc>
        <w:tcPr>
          <w:tcW w:w="2343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177" w:type="dxa"/>
            <w:tblInd w:w="1" w:type="dxa"/>
            <w:tblLayout w:type="fixed"/>
            <w:tblLook w:val="04A0" w:firstRow="1" w:lastRow="0" w:firstColumn="1" w:lastColumn="0" w:noHBand="0" w:noVBand="1"/>
          </w:tblPr>
          <w:tblGrid>
            <w:gridCol w:w="2177"/>
          </w:tblGrid>
          <w:tr w:rsidR="00FC3E80">
            <w:trPr>
              <w:trHeight w:val="140"/>
            </w:trPr>
            <w:tc>
              <w:tcPr>
                <w:tcW w:w="2177" w:type="dxa"/>
                <w:vAlign w:val="center"/>
              </w:tcPr>
              <w:p w:rsidR="00FC3E80" w:rsidRDefault="00827C80">
                <w:pPr>
                  <w:pStyle w:val="Zpat"/>
                  <w:widowControl w:val="0"/>
                  <w:jc w:val="center"/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  <w:t>TEL: +420 596 380 111</w:t>
                </w:r>
              </w:p>
            </w:tc>
          </w:tr>
          <w:tr w:rsidR="00FC3E80">
            <w:trPr>
              <w:trHeight w:val="147"/>
            </w:trPr>
            <w:tc>
              <w:tcPr>
                <w:tcW w:w="2177" w:type="dxa"/>
              </w:tcPr>
              <w:p w:rsidR="00FC3E80" w:rsidRDefault="00827C80">
                <w:pPr>
                  <w:pStyle w:val="Zpat"/>
                  <w:widowControl w:val="0"/>
                  <w:jc w:val="center"/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A6A6A6" w:themeColor="background1" w:themeShade="A6"/>
                    <w:sz w:val="18"/>
                    <w:szCs w:val="18"/>
                  </w:rPr>
                  <w:t>FAX: +420 596 348 631</w:t>
                </w:r>
              </w:p>
            </w:tc>
          </w:tr>
          <w:tr w:rsidR="00FC3E80">
            <w:trPr>
              <w:trHeight w:val="140"/>
            </w:trPr>
            <w:tc>
              <w:tcPr>
                <w:tcW w:w="2177" w:type="dxa"/>
              </w:tcPr>
              <w:p w:rsidR="00FC3E80" w:rsidRDefault="00827C80">
                <w:pPr>
                  <w:pStyle w:val="Zpat"/>
                  <w:widowControl w:val="0"/>
                  <w:tabs>
                    <w:tab w:val="left" w:pos="2465"/>
                  </w:tabs>
                  <w:jc w:val="center"/>
                  <w:rPr>
                    <w:rFonts w:ascii="Calibri" w:hAnsi="Calibri"/>
                    <w:color w:val="2E74B5" w:themeColor="accent1" w:themeShade="BF"/>
                    <w:sz w:val="18"/>
                    <w:szCs w:val="18"/>
                  </w:rPr>
                </w:pPr>
                <w:r>
                  <w:t xml:space="preserve">             </w:t>
                </w:r>
                <w:hyperlink r:id="rId1">
                  <w:r>
                    <w:rPr>
                      <w:rStyle w:val="Internetovodkaz"/>
                      <w:rFonts w:ascii="Calibri" w:hAnsi="Calibri"/>
                      <w:color w:val="9CC2E5" w:themeColor="accent1" w:themeTint="99"/>
                      <w:sz w:val="18"/>
                      <w:szCs w:val="18"/>
                    </w:rPr>
                    <w:t>www.khn.cz</w:t>
                  </w:r>
                </w:hyperlink>
              </w:p>
            </w:tc>
          </w:tr>
        </w:tbl>
        <w:p w:rsidR="00FC3E80" w:rsidRDefault="00FC3E80">
          <w:pPr>
            <w:widowControl w:val="0"/>
            <w:tabs>
              <w:tab w:val="center" w:pos="5233"/>
            </w:tabs>
          </w:pPr>
        </w:p>
      </w:tc>
    </w:tr>
  </w:tbl>
  <w:p w:rsidR="00FC3E80" w:rsidRDefault="00FC3E80">
    <w:pPr>
      <w:tabs>
        <w:tab w:val="center" w:pos="52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F3" w:rsidRDefault="009309F3">
      <w:pPr>
        <w:spacing w:after="0" w:line="240" w:lineRule="auto"/>
      </w:pPr>
      <w:r>
        <w:separator/>
      </w:r>
    </w:p>
  </w:footnote>
  <w:footnote w:type="continuationSeparator" w:id="0">
    <w:p w:rsidR="009309F3" w:rsidRDefault="0093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80" w:rsidRDefault="00827C80">
    <w:pPr>
      <w:tabs>
        <w:tab w:val="center" w:pos="5233"/>
      </w:tabs>
      <w:spacing w:line="26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0" allowOverlap="1" wp14:anchorId="469AE7FB">
              <wp:simplePos x="0" y="0"/>
              <wp:positionH relativeFrom="margin">
                <wp:align>left</wp:align>
              </wp:positionH>
              <wp:positionV relativeFrom="paragraph">
                <wp:posOffset>751205</wp:posOffset>
              </wp:positionV>
              <wp:extent cx="6687185" cy="635"/>
              <wp:effectExtent l="0" t="0" r="19685" b="19050"/>
              <wp:wrapNone/>
              <wp:docPr id="1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6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9.15pt" to="526.45pt,59.15pt" ID="Přímá spojnice 5" stroked="t" style="position:absolute;mso-position-horizontal:left;mso-position-horizontal-relative:margin" wp14:anchorId="469AE7FB">
              <v:stroke color="#5b9bd5" weight="6480" joinstyle="miter" endcap="flat"/>
              <v:fill o:detectmouseclick="t" on="fals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022475" cy="62103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0"/>
    <w:rsid w:val="00035348"/>
    <w:rsid w:val="00072791"/>
    <w:rsid w:val="001A57E7"/>
    <w:rsid w:val="004D47A8"/>
    <w:rsid w:val="004F27B2"/>
    <w:rsid w:val="006E0C85"/>
    <w:rsid w:val="00712210"/>
    <w:rsid w:val="007525B6"/>
    <w:rsid w:val="00827C80"/>
    <w:rsid w:val="008D7070"/>
    <w:rsid w:val="008E199A"/>
    <w:rsid w:val="009309F3"/>
    <w:rsid w:val="00B1531F"/>
    <w:rsid w:val="00B93DCE"/>
    <w:rsid w:val="00DD6957"/>
    <w:rsid w:val="00EE4A31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33B2-9D58-48B7-BE4F-C01DF57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B0D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44B28"/>
  </w:style>
  <w:style w:type="character" w:customStyle="1" w:styleId="ZpatChar">
    <w:name w:val="Zápatí Char"/>
    <w:basedOn w:val="Standardnpsmoodstavce"/>
    <w:link w:val="Zpat"/>
    <w:uiPriority w:val="99"/>
    <w:qFormat/>
    <w:rsid w:val="00944B28"/>
  </w:style>
  <w:style w:type="character" w:customStyle="1" w:styleId="Internetovodkaz">
    <w:name w:val="Internetový odkaz"/>
    <w:basedOn w:val="Standardnpsmoodstavce"/>
    <w:unhideWhenUsed/>
    <w:rsid w:val="00B92332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332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4B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44B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ypertextovodkaz1">
    <w:name w:val="Hypertextový odkaz1"/>
    <w:basedOn w:val="Normln"/>
    <w:qFormat/>
    <w:rsid w:val="009D1FC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33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hn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50D6-6776-434E-AF76-B147F19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Kamýček</dc:creator>
  <dc:description/>
  <cp:lastModifiedBy>Ava</cp:lastModifiedBy>
  <cp:revision>2</cp:revision>
  <cp:lastPrinted>2017-11-23T07:53:00Z</cp:lastPrinted>
  <dcterms:created xsi:type="dcterms:W3CDTF">2021-06-29T11:47:00Z</dcterms:created>
  <dcterms:modified xsi:type="dcterms:W3CDTF">2021-06-29T11:47:00Z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